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F0EE6">
      <w:pPr>
        <w:widowControl w:val="0"/>
        <w:kinsoku/>
        <w:autoSpaceDE/>
        <w:autoSpaceDN/>
        <w:adjustRightInd/>
        <w:snapToGrid/>
        <w:spacing w:line="240" w:lineRule="auto"/>
        <w:jc w:val="right"/>
        <w:textAlignment w:val="auto"/>
        <w:rPr>
          <w:rFonts w:hint="eastAsia" w:ascii="宋体" w:hAnsi="宋体" w:eastAsia="宋体" w:cs="Times New Roman"/>
          <w:snapToGrid/>
          <w:color w:val="000000"/>
          <w:kern w:val="2"/>
          <w:szCs w:val="20"/>
          <w:lang w:eastAsia="zh-CN"/>
        </w:rPr>
      </w:pPr>
      <w:r>
        <w:rPr>
          <w:rFonts w:hint="eastAsia" w:ascii="宋体" w:hAnsi="宋体" w:eastAsia="宋体" w:cs="Times New Roman"/>
          <w:snapToGrid/>
          <w:color w:val="000000"/>
          <w:kern w:val="2"/>
          <w:szCs w:val="20"/>
          <w:lang w:val="en-US" w:eastAsia="zh-CN"/>
        </w:rPr>
        <w:t>文件</w:t>
      </w:r>
      <w:r>
        <w:rPr>
          <w:rFonts w:hint="eastAsia" w:ascii="宋体" w:hAnsi="宋体" w:eastAsia="宋体" w:cs="Times New Roman"/>
          <w:snapToGrid/>
          <w:color w:val="000000"/>
          <w:kern w:val="2"/>
          <w:szCs w:val="20"/>
          <w:lang w:eastAsia="zh-CN"/>
        </w:rPr>
        <w:t>编号：</w:t>
      </w:r>
      <w:r>
        <w:rPr>
          <w:rFonts w:hint="eastAsia" w:ascii="宋体" w:hAnsi="宋体" w:eastAsia="宋体" w:cs="宋体"/>
          <w:snapToGrid/>
          <w:color w:val="000000"/>
          <w:kern w:val="0"/>
          <w:sz w:val="21"/>
          <w:szCs w:val="21"/>
          <w:lang w:eastAsia="zh-CN"/>
        </w:rPr>
        <w:t>AF/SS-1</w:t>
      </w:r>
      <w:r>
        <w:rPr>
          <w:rFonts w:hint="eastAsia" w:ascii="宋体" w:hAnsi="宋体" w:eastAsia="宋体" w:cs="宋体"/>
          <w:snapToGrid/>
          <w:color w:val="000000"/>
          <w:kern w:val="0"/>
          <w:sz w:val="21"/>
          <w:szCs w:val="21"/>
          <w:lang w:eastAsia="zh"/>
        </w:rPr>
        <w:t>1</w:t>
      </w:r>
      <w:r>
        <w:rPr>
          <w:rFonts w:hint="eastAsia" w:ascii="宋体" w:hAnsi="宋体" w:eastAsia="宋体" w:cs="宋体"/>
          <w:snapToGrid/>
          <w:color w:val="000000"/>
          <w:kern w:val="0"/>
          <w:sz w:val="21"/>
          <w:szCs w:val="21"/>
          <w:lang w:eastAsia="zh-CN"/>
        </w:rPr>
        <w:t>/05.0</w:t>
      </w:r>
    </w:p>
    <w:tbl>
      <w:tblPr>
        <w:tblStyle w:val="4"/>
        <w:tblW w:w="14720" w:type="dxa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0"/>
        <w:gridCol w:w="2000"/>
        <w:gridCol w:w="2960"/>
        <w:gridCol w:w="2500"/>
        <w:gridCol w:w="1460"/>
        <w:gridCol w:w="1560"/>
        <w:gridCol w:w="2160"/>
      </w:tblGrid>
      <w:tr w14:paraId="5D5222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4720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A58EFE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b/>
                <w:bCs/>
                <w:snapToGrid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/>
              </w:rPr>
              <w:t>宁夏医科大学总医院药物/医疗器械临床试验伦理委员会安全性报告摘要</w:t>
            </w:r>
          </w:p>
        </w:tc>
      </w:tr>
      <w:tr w14:paraId="38FF09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47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EAA3C5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napToGrid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kern w:val="0"/>
                <w:sz w:val="22"/>
                <w:szCs w:val="22"/>
                <w:lang w:eastAsia="zh-CN"/>
              </w:rPr>
              <w:t>一、项目基本信息</w:t>
            </w:r>
          </w:p>
        </w:tc>
      </w:tr>
      <w:tr w14:paraId="7CF655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2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710224FD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napToGrid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kern w:val="0"/>
                <w:sz w:val="22"/>
                <w:szCs w:val="22"/>
                <w:lang w:eastAsia="zh-CN"/>
              </w:rPr>
              <w:t>项目名称</w:t>
            </w:r>
          </w:p>
        </w:tc>
        <w:tc>
          <w:tcPr>
            <w:tcW w:w="126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B50DED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t>　</w:t>
            </w:r>
          </w:p>
        </w:tc>
      </w:tr>
      <w:tr w14:paraId="6E764A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2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9743F9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napToGrid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kern w:val="0"/>
                <w:sz w:val="22"/>
                <w:szCs w:val="22"/>
                <w:lang w:eastAsia="zh-CN"/>
              </w:rPr>
              <w:t>主要研究者</w:t>
            </w:r>
          </w:p>
        </w:tc>
        <w:tc>
          <w:tcPr>
            <w:tcW w:w="2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56FB10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t>　</w:t>
            </w:r>
          </w:p>
        </w:tc>
        <w:tc>
          <w:tcPr>
            <w:tcW w:w="2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3E1511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napToGrid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kern w:val="0"/>
                <w:sz w:val="22"/>
                <w:szCs w:val="22"/>
                <w:lang w:eastAsia="zh-CN"/>
              </w:rPr>
              <w:t xml:space="preserve">专业（科室）           </w:t>
            </w:r>
          </w:p>
        </w:tc>
        <w:tc>
          <w:tcPr>
            <w:tcW w:w="2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EE1E9A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t>　</w:t>
            </w:r>
          </w:p>
        </w:tc>
        <w:tc>
          <w:tcPr>
            <w:tcW w:w="30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9028AA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napToGrid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kern w:val="0"/>
                <w:sz w:val="22"/>
                <w:szCs w:val="22"/>
                <w:lang w:eastAsia="zh-CN"/>
              </w:rPr>
              <w:t>初审伦理审查编号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B15316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t>　</w:t>
            </w:r>
          </w:p>
        </w:tc>
      </w:tr>
      <w:tr w14:paraId="6F99C8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2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23196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napToGrid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kern w:val="0"/>
                <w:sz w:val="22"/>
                <w:szCs w:val="22"/>
                <w:lang w:eastAsia="zh-CN"/>
              </w:rPr>
              <w:t>申办者</w:t>
            </w:r>
          </w:p>
        </w:tc>
        <w:tc>
          <w:tcPr>
            <w:tcW w:w="2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0988A9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t>　</w:t>
            </w:r>
          </w:p>
        </w:tc>
        <w:tc>
          <w:tcPr>
            <w:tcW w:w="2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C3D39C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napToGrid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kern w:val="0"/>
                <w:sz w:val="22"/>
                <w:szCs w:val="22"/>
                <w:lang w:eastAsia="zh-CN"/>
              </w:rPr>
              <w:t>组长单位/PI</w:t>
            </w:r>
          </w:p>
        </w:tc>
        <w:tc>
          <w:tcPr>
            <w:tcW w:w="2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871B64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t>　</w:t>
            </w:r>
          </w:p>
        </w:tc>
        <w:tc>
          <w:tcPr>
            <w:tcW w:w="30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CA1F7C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napToGrid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kern w:val="0"/>
                <w:sz w:val="22"/>
                <w:szCs w:val="22"/>
                <w:lang w:eastAsia="zh-CN"/>
              </w:rPr>
              <w:t>本中心已入组例数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735CED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t>　</w:t>
            </w:r>
          </w:p>
        </w:tc>
      </w:tr>
      <w:tr w14:paraId="398B30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2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502B7B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napToGrid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kern w:val="0"/>
                <w:sz w:val="22"/>
                <w:szCs w:val="22"/>
                <w:lang w:eastAsia="zh-CN"/>
              </w:rPr>
              <w:t>试验阶段</w:t>
            </w:r>
          </w:p>
        </w:tc>
        <w:tc>
          <w:tcPr>
            <w:tcW w:w="1264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91337D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t>□尚未启动，□正在招募受试者（尚未入组），□正在实施，□受试者的试验干预已经完成，□后期数据处理阶段，□其他：</w:t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u w:val="single"/>
                <w:lang w:eastAsia="zh-CN"/>
              </w:rPr>
              <w:t xml:space="preserve">      </w:t>
            </w:r>
          </w:p>
        </w:tc>
      </w:tr>
      <w:tr w14:paraId="6FDD91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2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88B0B9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napToGrid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kern w:val="0"/>
                <w:sz w:val="22"/>
                <w:szCs w:val="22"/>
                <w:lang w:eastAsia="zh-CN"/>
              </w:rPr>
              <w:t>受试者随访情况</w:t>
            </w:r>
          </w:p>
        </w:tc>
        <w:tc>
          <w:tcPr>
            <w:tcW w:w="1264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2B755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t>□目前有受试者在研/随访，□受试者均已出组，□不适用</w:t>
            </w:r>
          </w:p>
        </w:tc>
      </w:tr>
      <w:tr w14:paraId="42466C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47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4E1301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napToGrid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kern w:val="0"/>
                <w:sz w:val="22"/>
                <w:szCs w:val="22"/>
                <w:lang w:eastAsia="zh-CN"/>
              </w:rPr>
              <w:t>二、安全性报告类型</w:t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t>（请在适用的□打钩或用■标识）</w:t>
            </w:r>
          </w:p>
        </w:tc>
      </w:tr>
      <w:tr w14:paraId="3D9F0A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5" w:hRule="atLeast"/>
        </w:trPr>
        <w:tc>
          <w:tcPr>
            <w:tcW w:w="2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469A44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kern w:val="0"/>
                <w:sz w:val="22"/>
                <w:szCs w:val="22"/>
                <w:lang w:eastAsia="zh-CN"/>
              </w:rPr>
              <w:t>□一、SUSAR报告</w:t>
            </w:r>
          </w:p>
        </w:tc>
        <w:tc>
          <w:tcPr>
            <w:tcW w:w="1264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FBE76C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kern w:val="0"/>
                <w:sz w:val="22"/>
                <w:szCs w:val="22"/>
                <w:lang w:eastAsia="zh-CN"/>
              </w:rPr>
              <w:t>1、</w:t>
            </w:r>
            <w:r>
              <w:rPr>
                <w:rFonts w:hint="eastAsia" w:ascii="宋体" w:hAnsi="宋体" w:eastAsia="宋体" w:cs="宋体"/>
                <w:b/>
                <w:bCs/>
                <w:snapToGrid/>
                <w:color w:val="FF0000"/>
                <w:kern w:val="0"/>
                <w:sz w:val="22"/>
                <w:szCs w:val="22"/>
                <w:lang w:eastAsia="zh-CN"/>
              </w:rPr>
              <w:t>本院</w:t>
            </w:r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kern w:val="0"/>
                <w:sz w:val="22"/>
                <w:szCs w:val="22"/>
                <w:lang w:eastAsia="zh-CN"/>
              </w:rPr>
              <w:t>SUSAR报告</w:t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t>（报告时限：首次7/15,随访8），需提交：</w:t>
            </w:r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kern w:val="0"/>
                <w:sz w:val="22"/>
                <w:szCs w:val="22"/>
                <w:lang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kern w:val="0"/>
                <w:sz w:val="22"/>
                <w:szCs w:val="22"/>
                <w:lang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t>1.1 安全性报告摘要（本模板）</w:t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t xml:space="preserve">     1.2 SUSAR报告（申办者模板，</w:t>
            </w:r>
            <w:r>
              <w:rPr>
                <w:rFonts w:hint="eastAsia" w:ascii="宋体" w:hAnsi="宋体" w:eastAsia="宋体" w:cs="宋体"/>
                <w:snapToGrid/>
                <w:color w:val="FF0000"/>
                <w:kern w:val="0"/>
                <w:sz w:val="18"/>
                <w:szCs w:val="18"/>
                <w:lang w:eastAsia="zh-CN"/>
              </w:rPr>
              <w:t>报告详细情况应有判断相关性的理由、描述是否为SUSAR</w:t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t xml:space="preserve">     1.3 涉及死亡事件的报告，还应提供其他所需要的资料（如有），如尸检报告、最终医学报告及其他相关文件</w:t>
            </w:r>
          </w:p>
        </w:tc>
      </w:tr>
      <w:tr w14:paraId="2575D4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</w:trPr>
        <w:tc>
          <w:tcPr>
            <w:tcW w:w="2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610F3C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</w:pPr>
          </w:p>
        </w:tc>
        <w:tc>
          <w:tcPr>
            <w:tcW w:w="1264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472699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kern w:val="0"/>
                <w:sz w:val="22"/>
                <w:szCs w:val="22"/>
                <w:lang w:eastAsia="zh-CN"/>
              </w:rPr>
              <w:t>2、</w:t>
            </w:r>
            <w:r>
              <w:rPr>
                <w:rFonts w:hint="eastAsia" w:ascii="宋体" w:hAnsi="宋体" w:eastAsia="宋体" w:cs="宋体"/>
                <w:b/>
                <w:bCs/>
                <w:snapToGrid/>
                <w:color w:val="FF0000"/>
                <w:kern w:val="0"/>
                <w:sz w:val="22"/>
                <w:szCs w:val="22"/>
                <w:lang w:eastAsia="zh-CN"/>
              </w:rPr>
              <w:t>汇总</w:t>
            </w:r>
            <w:r>
              <w:rPr>
                <w:rFonts w:hint="eastAsia" w:ascii="宋体" w:hAnsi="宋体" w:eastAsia="宋体" w:cs="宋体"/>
                <w:b/>
                <w:bCs/>
                <w:snapToGrid/>
                <w:color w:val="FF0000"/>
                <w:kern w:val="0"/>
                <w:sz w:val="22"/>
                <w:szCs w:val="22"/>
                <w:lang w:val="en-US" w:eastAsia="zh-CN"/>
              </w:rPr>
              <w:t>外院</w:t>
            </w:r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kern w:val="0"/>
                <w:sz w:val="22"/>
                <w:szCs w:val="22"/>
                <w:lang w:eastAsia="zh-CN"/>
              </w:rPr>
              <w:t>SUSAR报告</w:t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t>（每三个月汇总填写一次，时间段：   年  月  日至  年 月 日），需提交：</w:t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kern w:val="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t>2.1 安全性报告摘要（本模板）</w:t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t xml:space="preserve">     2.2 SUSAR报告汇总表（申办者模板，</w:t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18"/>
                <w:szCs w:val="18"/>
                <w:lang w:eastAsia="zh-CN"/>
              </w:rPr>
              <w:t>至少包括但不限以下信息：</w:t>
            </w:r>
            <w:r>
              <w:rPr>
                <w:rFonts w:hint="eastAsia" w:ascii="宋体" w:hAnsi="宋体" w:eastAsia="宋体" w:cs="宋体"/>
                <w:snapToGrid/>
                <w:color w:val="FF0000"/>
                <w:kern w:val="0"/>
                <w:sz w:val="18"/>
                <w:szCs w:val="18"/>
                <w:lang w:eastAsia="zh-CN"/>
              </w:rPr>
              <w:t>获知时间、安全性事件名称、报告类型、相关性、转归、是否为致死或</w:t>
            </w:r>
            <w:r>
              <w:rPr>
                <w:rFonts w:hint="eastAsia" w:ascii="宋体" w:hAnsi="宋体" w:eastAsia="宋体" w:cs="宋体"/>
                <w:snapToGrid/>
                <w:color w:val="FF0000"/>
                <w:kern w:val="0"/>
                <w:sz w:val="18"/>
                <w:szCs w:val="18"/>
                <w:lang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napToGrid/>
                <w:color w:val="FF0000"/>
                <w:kern w:val="0"/>
                <w:sz w:val="18"/>
                <w:szCs w:val="18"/>
                <w:lang w:eastAsia="zh-CN"/>
              </w:rPr>
              <w:t xml:space="preserve">          危及生命的SUSAR</w:t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t>）</w:t>
            </w:r>
          </w:p>
        </w:tc>
      </w:tr>
      <w:tr w14:paraId="744591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6" w:hRule="atLeast"/>
        </w:trPr>
        <w:tc>
          <w:tcPr>
            <w:tcW w:w="2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0C8636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napToGrid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kern w:val="0"/>
                <w:sz w:val="22"/>
                <w:szCs w:val="22"/>
                <w:lang w:eastAsia="zh-CN"/>
              </w:rPr>
              <w:t>□二、</w:t>
            </w:r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kern w:val="0"/>
                <w:sz w:val="22"/>
                <w:szCs w:val="22"/>
                <w:lang w:val="en-US" w:eastAsia="zh-CN"/>
              </w:rPr>
              <w:t>本院</w:t>
            </w:r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kern w:val="0"/>
                <w:sz w:val="22"/>
                <w:szCs w:val="22"/>
                <w:lang w:eastAsia="zh-CN"/>
              </w:rPr>
              <w:t>SAE报告和可能导致SAE的器械缺陷报告</w:t>
            </w:r>
            <w:r>
              <w:rPr>
                <w:rFonts w:hint="eastAsia" w:ascii="宋体" w:hAnsi="宋体" w:eastAsia="宋体" w:cs="宋体"/>
                <w:i/>
                <w:iCs/>
                <w:snapToGrid/>
                <w:color w:val="FF0000"/>
                <w:kern w:val="0"/>
                <w:sz w:val="22"/>
                <w:szCs w:val="22"/>
                <w:lang w:eastAsia="zh-CN"/>
              </w:rPr>
              <w:t>（仅医疗器械临床试验适用）</w:t>
            </w:r>
          </w:p>
        </w:tc>
        <w:tc>
          <w:tcPr>
            <w:tcW w:w="1264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258B9E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kern w:val="0"/>
                <w:sz w:val="22"/>
                <w:szCs w:val="22"/>
                <w:lang w:eastAsia="zh-CN"/>
              </w:rPr>
              <w:t>1、本院SAE报告/可能导致SAE的器械缺陷报告</w:t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t>（报告时限：24小时），需提交：</w:t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t xml:space="preserve">     1.1 安全性报告摘要（本模板）</w:t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t xml:space="preserve">     1.2 SAE报告/可能导致SAE的器械缺陷报告（申办者模板，</w:t>
            </w:r>
            <w:r>
              <w:rPr>
                <w:rFonts w:hint="eastAsia" w:ascii="宋体" w:hAnsi="宋体" w:eastAsia="宋体" w:cs="宋体"/>
                <w:snapToGrid/>
                <w:color w:val="FF0000"/>
                <w:kern w:val="0"/>
                <w:sz w:val="18"/>
                <w:szCs w:val="18"/>
                <w:lang w:eastAsia="zh-CN"/>
              </w:rPr>
              <w:t>报告详细情况应有判断相关性的理由、描述是否为SUSAR</w:t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t xml:space="preserve">     1.3 涉及死亡事件的报告，还应提供其他所需要的资料（如有），如尸检报告、最终医学报告及其他相关文件</w:t>
            </w:r>
          </w:p>
        </w:tc>
      </w:tr>
      <w:tr w14:paraId="10FA2B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</w:trPr>
        <w:tc>
          <w:tcPr>
            <w:tcW w:w="147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B67B0D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kern w:val="0"/>
                <w:sz w:val="22"/>
                <w:szCs w:val="22"/>
                <w:lang w:eastAsia="zh-CN"/>
              </w:rPr>
              <w:t>□三、DSUR</w:t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t>（DSUR至少进行年度通报，时间段：   年  月  日至  年  月  日），需提交：</w:t>
            </w:r>
          </w:p>
          <w:p w14:paraId="2FF6098D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before="0" w:beforeAutospacing="0" w:after="0" w:afterAutospacing="0" w:line="240" w:lineRule="auto"/>
              <w:ind w:left="0" w:right="0" w:firstLine="660" w:firstLineChars="300"/>
              <w:jc w:val="left"/>
              <w:textAlignment w:val="auto"/>
              <w:rPr>
                <w:rFonts w:hint="default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t>1、安全性报告摘要（本模板）</w:t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br w:type="page"/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t xml:space="preserve">      </w:t>
            </w:r>
            <w:bookmarkStart w:id="0" w:name="_GoBack"/>
            <w:bookmarkEnd w:id="0"/>
          </w:p>
          <w:p w14:paraId="142CCED6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before="0" w:beforeAutospacing="0" w:after="0" w:afterAutospacing="0" w:line="240" w:lineRule="auto"/>
              <w:ind w:left="0" w:right="0" w:firstLine="660" w:firstLineChars="300"/>
              <w:jc w:val="left"/>
              <w:textAlignment w:val="auto"/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t xml:space="preserve">2、DSUR（申办者模板）  </w:t>
            </w:r>
          </w:p>
        </w:tc>
      </w:tr>
      <w:tr w14:paraId="603BE9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147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C004DE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kern w:val="0"/>
                <w:sz w:val="22"/>
                <w:szCs w:val="22"/>
                <w:lang w:eastAsia="zh-CN"/>
              </w:rPr>
              <w:t>□四、其它潜在的严重安全性风险信息报告</w:t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t xml:space="preserve">（及时报告或按照方案要求报告，时间段：   年  月  日至  年 </w:t>
            </w:r>
            <w:r>
              <w:rPr>
                <w:rFonts w:hint="default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t>月  日），需提交：</w:t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t xml:space="preserve">      1、安全性报告摘要（本模板）</w:t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t xml:space="preserve">      2、其它潜在的严重安全性风险信息报告（申办者模板）</w:t>
            </w:r>
          </w:p>
        </w:tc>
      </w:tr>
      <w:tr w14:paraId="10FCAE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3" w:hRule="atLeast"/>
        </w:trPr>
        <w:tc>
          <w:tcPr>
            <w:tcW w:w="147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E5E47B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kern w:val="0"/>
                <w:sz w:val="22"/>
                <w:szCs w:val="22"/>
                <w:lang w:eastAsia="zh-CN"/>
              </w:rPr>
              <w:t>□五、根据发生的所有不良事件和发现的器械缺陷，分析事件原因，形成的书面分析报告</w:t>
            </w:r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kern w:val="0"/>
                <w:sz w:val="22"/>
                <w:szCs w:val="22"/>
                <w:lang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kern w:val="0"/>
                <w:sz w:val="22"/>
                <w:szCs w:val="22"/>
                <w:lang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i/>
                <w:iCs/>
                <w:snapToGrid/>
                <w:color w:val="000000"/>
                <w:kern w:val="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i/>
                <w:iCs/>
                <w:snapToGrid/>
                <w:color w:val="FF0000"/>
                <w:kern w:val="0"/>
                <w:sz w:val="22"/>
                <w:szCs w:val="22"/>
                <w:lang w:eastAsia="zh-CN"/>
              </w:rPr>
              <w:t>（仅医疗器械临床试验适用，</w:t>
            </w:r>
            <w:r>
              <w:rPr>
                <w:rFonts w:hint="eastAsia" w:ascii="宋体" w:hAnsi="宋体" w:eastAsia="宋体" w:cs="宋体"/>
                <w:i/>
                <w:iCs/>
                <w:snapToGrid/>
                <w:color w:val="000000"/>
                <w:kern w:val="0"/>
                <w:sz w:val="22"/>
                <w:szCs w:val="22"/>
                <w:lang w:eastAsia="zh-CN"/>
              </w:rPr>
              <w:t>及时报告或按照方案要求报告，</w:t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t>时间段：   年  月  日至  年 月 日），需提交：</w:t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t xml:space="preserve">      1、安全性报告摘要（本模板）</w:t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t xml:space="preserve">      2、书面分析报告（申办者模板）</w:t>
            </w:r>
          </w:p>
        </w:tc>
      </w:tr>
      <w:tr w14:paraId="5E8D01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</w:trPr>
        <w:tc>
          <w:tcPr>
            <w:tcW w:w="147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426462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kern w:val="0"/>
                <w:sz w:val="22"/>
                <w:szCs w:val="22"/>
                <w:lang w:eastAsia="zh-CN"/>
              </w:rPr>
              <w:t>□六、研究者手册更新</w:t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t xml:space="preserve">（按年度进行提交），需提交： </w:t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val="en-US" w:eastAsia="zh-CN"/>
              </w:rPr>
              <w:t xml:space="preserve"> 1、</w:t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t>安全性报告摘要（本模板）</w:t>
            </w:r>
          </w:p>
          <w:p w14:paraId="33BC6D6A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before="0" w:beforeAutospacing="0" w:after="0" w:afterAutospacing="0" w:line="240" w:lineRule="auto"/>
              <w:ind w:left="0" w:right="0" w:firstLine="440" w:firstLineChars="200"/>
              <w:jc w:val="left"/>
              <w:textAlignment w:val="auto"/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val="en-US" w:eastAsia="zh-CN"/>
              </w:rPr>
              <w:t xml:space="preserve"> 2</w:t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t>、研究者手册（须有中文版，I</w:t>
            </w:r>
            <w:r>
              <w:rPr>
                <w:rFonts w:hint="default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t>B</w:t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t>光盘提交）</w:t>
            </w:r>
          </w:p>
          <w:p w14:paraId="20510714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before="0" w:beforeAutospacing="0" w:after="0" w:afterAutospacing="0" w:line="240" w:lineRule="auto"/>
              <w:ind w:left="0" w:right="0" w:firstLine="660" w:firstLineChars="300"/>
              <w:jc w:val="left"/>
              <w:textAlignment w:val="auto"/>
              <w:rPr>
                <w:rFonts w:hint="eastAsia" w:ascii="宋体" w:hAnsi="宋体" w:eastAsia="宋体" w:cs="宋体"/>
                <w:snapToGrid/>
                <w:color w:val="FF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t>、概括性修改说明（须有中文版，本说明纸质提交）</w:t>
            </w:r>
            <w:r>
              <w:rPr>
                <w:rFonts w:hint="default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t xml:space="preserve">       </w:t>
            </w:r>
            <w:r>
              <w:rPr>
                <w:rFonts w:hint="default" w:ascii="宋体" w:hAnsi="宋体" w:eastAsia="宋体" w:cs="宋体"/>
                <w:snapToGrid/>
                <w:color w:val="FF0000"/>
                <w:kern w:val="0"/>
                <w:sz w:val="22"/>
                <w:szCs w:val="22"/>
                <w:lang w:eastAsia="zh-CN"/>
              </w:rPr>
              <w:t xml:space="preserve"> </w:t>
            </w:r>
          </w:p>
        </w:tc>
      </w:tr>
      <w:tr w14:paraId="28B7E8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47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677EDE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napToGrid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kern w:val="0"/>
                <w:sz w:val="22"/>
                <w:szCs w:val="22"/>
                <w:lang w:eastAsia="zh-CN"/>
              </w:rPr>
              <w:t>三、申办者对安全性报告的整体评价：包括但不限于以下内容</w:t>
            </w:r>
            <w:r>
              <w:rPr>
                <w:rFonts w:hint="eastAsia" w:ascii="宋体" w:hAnsi="宋体" w:eastAsia="宋体" w:cs="宋体"/>
                <w:b/>
                <w:bCs/>
                <w:snapToGrid/>
                <w:color w:val="FF0000"/>
                <w:kern w:val="0"/>
                <w:sz w:val="22"/>
                <w:szCs w:val="22"/>
                <w:lang w:eastAsia="zh-CN"/>
              </w:rPr>
              <w:t>（是否暂无评价，比如首次报告时，适用请勾选并跳过此部分内容：□是，□否）</w:t>
            </w:r>
          </w:p>
        </w:tc>
      </w:tr>
      <w:tr w14:paraId="2D91A2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147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EC51BB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t>1、是否影响临床试验风险与获益的评估：□是，□否</w:t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t>2、是否需要修改方案、知情同意书或研究者手册：□已修改，□计划修改，□否</w:t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t>3、如有其他，请补充</w:t>
            </w:r>
          </w:p>
        </w:tc>
      </w:tr>
      <w:tr w14:paraId="767E77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147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D5396B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napToGrid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kern w:val="0"/>
                <w:sz w:val="22"/>
                <w:szCs w:val="22"/>
                <w:lang w:eastAsia="zh-CN"/>
              </w:rPr>
              <w:t>四、主要研究者对安全性报告的整体评价：包括但不限于以下内容</w:t>
            </w:r>
          </w:p>
        </w:tc>
      </w:tr>
      <w:tr w14:paraId="42BBBA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0" w:hRule="atLeast"/>
        </w:trPr>
        <w:tc>
          <w:tcPr>
            <w:tcW w:w="147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4D65CC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t>1、受试者的治疗，是否进行相应调整：□是，□否</w:t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t>2、是否需要尽早与受试者沟通：□是，□否</w:t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t>3、受损伤的受试者的医疗保护措施是否合理：□是，□否</w:t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t>4、其他受试者的医疗保护措施是否合理：□是，□否</w:t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t>5、是否影响临床试验风险与获益的评估：□是，□否</w:t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t>6、是否需要修改方案、知情同意书：□是，□否</w:t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t>7、如有其他，请补充</w:t>
            </w:r>
          </w:p>
        </w:tc>
      </w:tr>
      <w:tr w14:paraId="0DD68A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147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1EF072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napToGrid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kern w:val="0"/>
                <w:sz w:val="22"/>
                <w:szCs w:val="22"/>
                <w:lang w:eastAsia="zh-CN"/>
              </w:rPr>
              <w:t>五、送审文件</w:t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t>（按照</w:t>
            </w:r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kern w:val="0"/>
                <w:sz w:val="22"/>
                <w:szCs w:val="22"/>
                <w:lang w:eastAsia="zh-CN"/>
              </w:rPr>
              <w:t>“安全性报告审查送审文件清单”</w:t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t>准备递交信和送审文件）</w:t>
            </w:r>
          </w:p>
        </w:tc>
      </w:tr>
      <w:tr w14:paraId="0DAC60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4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5CCC7C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napToGrid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kern w:val="0"/>
                <w:sz w:val="22"/>
                <w:szCs w:val="22"/>
                <w:lang w:eastAsia="zh-CN"/>
              </w:rPr>
              <w:t>主要研究者签名</w:t>
            </w:r>
          </w:p>
        </w:tc>
        <w:tc>
          <w:tcPr>
            <w:tcW w:w="2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6BB352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t>　</w:t>
            </w:r>
          </w:p>
        </w:tc>
        <w:tc>
          <w:tcPr>
            <w:tcW w:w="39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875940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napToGrid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kern w:val="0"/>
                <w:sz w:val="22"/>
                <w:szCs w:val="22"/>
                <w:lang w:eastAsia="zh-CN"/>
              </w:rPr>
              <w:t>日期</w:t>
            </w:r>
          </w:p>
        </w:tc>
        <w:tc>
          <w:tcPr>
            <w:tcW w:w="37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668ED9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t>　</w:t>
            </w:r>
          </w:p>
        </w:tc>
      </w:tr>
      <w:tr w14:paraId="5184D3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</w:trPr>
        <w:tc>
          <w:tcPr>
            <w:tcW w:w="4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355CC7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napToGrid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kern w:val="0"/>
                <w:sz w:val="22"/>
                <w:szCs w:val="22"/>
                <w:lang w:eastAsia="zh-CN"/>
              </w:rPr>
              <w:t>伦理委员会形式审查</w:t>
            </w:r>
          </w:p>
        </w:tc>
        <w:tc>
          <w:tcPr>
            <w:tcW w:w="1064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DD1CCA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napToGrid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kern w:val="0"/>
                <w:sz w:val="22"/>
                <w:szCs w:val="22"/>
                <w:lang w:eastAsia="zh-CN"/>
              </w:rPr>
              <w:t>□ 送审资料齐全，同意接收并进行审查。</w:t>
            </w:r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kern w:val="0"/>
                <w:sz w:val="22"/>
                <w:szCs w:val="22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kern w:val="0"/>
                <w:sz w:val="22"/>
                <w:szCs w:val="22"/>
                <w:lang w:eastAsia="zh-CN"/>
              </w:rPr>
              <w:t>□ 送审文件不齐全，补充/修改送审文件后递交。</w:t>
            </w:r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kern w:val="0"/>
                <w:sz w:val="22"/>
                <w:szCs w:val="22"/>
                <w:lang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t>（是否按要求及时递交：□是，□否，□不适用）</w:t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2"/>
                <w:szCs w:val="22"/>
                <w:lang w:eastAsia="zh-CN"/>
              </w:rPr>
              <w:t>接收人/审查人签字：                   日期：</w:t>
            </w:r>
          </w:p>
        </w:tc>
      </w:tr>
    </w:tbl>
    <w:p w14:paraId="551AF813">
      <w:pPr>
        <w:widowControl w:val="0"/>
        <w:kinsoku/>
        <w:autoSpaceDE/>
        <w:autoSpaceDN/>
        <w:adjustRightInd/>
        <w:snapToGrid/>
        <w:spacing w:line="240" w:lineRule="auto"/>
        <w:jc w:val="both"/>
        <w:textAlignment w:val="auto"/>
        <w:rPr>
          <w:rFonts w:ascii="宋体" w:hAnsi="宋体" w:eastAsia="宋体" w:cs="Times New Roman"/>
          <w:snapToGrid/>
          <w:color w:val="000000"/>
          <w:kern w:val="2"/>
          <w:szCs w:val="24"/>
          <w:lang w:eastAsia="zh-CN"/>
        </w:rPr>
      </w:pPr>
    </w:p>
    <w:p w14:paraId="770FD053"/>
    <w:sectPr>
      <w:headerReference r:id="rId3" w:type="default"/>
      <w:footerReference r:id="rId4" w:type="default"/>
      <w:pgSz w:w="16838" w:h="11906" w:orient="landscape"/>
      <w:pgMar w:top="1440" w:right="1440" w:bottom="1440" w:left="1440" w:header="851" w:footer="850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171CA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3696EF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3696EF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81D8B0">
    <w:pPr>
      <w:pStyle w:val="3"/>
    </w:pPr>
    <w:r>
      <w:rPr>
        <w:rFonts w:hint="eastAsia" w:ascii="Arial" w:hAnsi="Arial" w:eastAsia="宋体" w:cs="Arial"/>
        <w:snapToGrid w:val="0"/>
        <w:color w:val="000000"/>
        <w:kern w:val="0"/>
        <w:sz w:val="18"/>
        <w:szCs w:val="21"/>
        <w:u w:val="single"/>
        <w:lang w:val="en-US" w:eastAsia="zh-CN" w:bidi="ar-SA"/>
      </w:rPr>
      <w:t xml:space="preserve">宁夏医科大学总医院药物/医疗器械临床试验伦理委员会                                                                                                     送审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D75E4A"/>
    <w:rsid w:val="11D75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2026-01-15T03:29:00Z</dcterms:created>
  <dc:creator>苏苏</dc:creator>
  <cp:lastModifiedBy>苏苏</cp:lastModifiedBy>
  <dcterms:modified xsi:type="dcterms:W3CDTF">2026-01-15T03:32:25Z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07D41A3BACBC4AB1B2EBC51170F3344C_11</vt:lpwstr>
  </property>
  <property fmtid="{D5CDD505-2E9C-101B-9397-08002B2CF9AE}" pid="4" name="KSOTemplateDocerSaveRecord">
    <vt:lpwstr>eyJoZGlkIjoiNzIwYzM0ZjRjODViZjVjZjEyZjNlMzAyZWI3NGYyYTUiLCJ1c2VySWQiOiIzMjU4MjM5ODgifQ==</vt:lpwstr>
  </property>
</Properties>
</file>